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0FB2" w14:textId="77777777" w:rsidR="00641659" w:rsidRDefault="00641659" w:rsidP="00641659">
      <w:pPr>
        <w:spacing w:before="17"/>
        <w:ind w:right="2667"/>
        <w:rPr>
          <w:rFonts w:ascii="Calibri"/>
          <w:b/>
          <w:spacing w:val="-1"/>
          <w:sz w:val="32"/>
        </w:rPr>
      </w:pPr>
    </w:p>
    <w:p w14:paraId="6D1D1599" w14:textId="77777777" w:rsidR="00641659" w:rsidRDefault="00641659" w:rsidP="00641659">
      <w:pPr>
        <w:spacing w:before="17"/>
        <w:ind w:right="2667"/>
        <w:rPr>
          <w:rFonts w:ascii="Calibri"/>
          <w:b/>
          <w:spacing w:val="-1"/>
          <w:sz w:val="32"/>
        </w:rPr>
      </w:pPr>
    </w:p>
    <w:p w14:paraId="0FD28B0B" w14:textId="77777777" w:rsidR="00641659" w:rsidRPr="00A20A63" w:rsidRDefault="00641659" w:rsidP="00641659">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1B2CCD3C" w14:textId="77777777" w:rsidR="00641659" w:rsidRPr="00E675D7" w:rsidRDefault="00641659" w:rsidP="00641659">
      <w:pPr>
        <w:jc w:val="center"/>
        <w:rPr>
          <w:rFonts w:cstheme="minorHAnsi"/>
          <w:noProof/>
          <w:sz w:val="44"/>
          <w:szCs w:val="44"/>
        </w:rPr>
      </w:pPr>
      <w:r w:rsidRPr="00E675D7">
        <w:rPr>
          <w:rFonts w:cstheme="minorHAnsi"/>
          <w:noProof/>
          <w:sz w:val="44"/>
          <w:szCs w:val="44"/>
        </w:rPr>
        <w:t>Alexis Sturm</w:t>
      </w:r>
    </w:p>
    <w:p w14:paraId="20CA3F08" w14:textId="77777777" w:rsidR="00641659" w:rsidRPr="00E675D7" w:rsidRDefault="00641659" w:rsidP="00641659">
      <w:pPr>
        <w:jc w:val="center"/>
        <w:rPr>
          <w:rFonts w:cstheme="minorHAnsi"/>
          <w:noProof/>
          <w:sz w:val="44"/>
          <w:szCs w:val="44"/>
        </w:rPr>
      </w:pPr>
      <w:r w:rsidRPr="00E675D7">
        <w:rPr>
          <w:rFonts w:cstheme="minorHAnsi"/>
          <w:noProof/>
          <w:sz w:val="44"/>
          <w:szCs w:val="44"/>
        </w:rPr>
        <w:t>Director</w:t>
      </w:r>
    </w:p>
    <w:p w14:paraId="09E0CD48" w14:textId="77777777" w:rsidR="00641659" w:rsidRPr="00561D3D" w:rsidRDefault="00641659" w:rsidP="00641659">
      <w:pPr>
        <w:jc w:val="center"/>
        <w:rPr>
          <w:rFonts w:cstheme="minorHAnsi"/>
          <w:spacing w:val="-1"/>
          <w:sz w:val="64"/>
          <w:szCs w:val="64"/>
        </w:rPr>
      </w:pPr>
    </w:p>
    <w:p w14:paraId="102FFF8D" w14:textId="77777777" w:rsidR="00641659" w:rsidRDefault="00641659" w:rsidP="00641659">
      <w:pPr>
        <w:spacing w:before="17"/>
        <w:ind w:right="2667"/>
        <w:rPr>
          <w:rFonts w:ascii="Calibri"/>
          <w:b/>
          <w:spacing w:val="-1"/>
          <w:sz w:val="32"/>
        </w:rPr>
      </w:pPr>
    </w:p>
    <w:p w14:paraId="1C6B8723" w14:textId="77777777" w:rsidR="00641659" w:rsidRDefault="00641659" w:rsidP="00641659">
      <w:pPr>
        <w:spacing w:before="17"/>
        <w:ind w:left="2665" w:right="2667"/>
        <w:jc w:val="center"/>
        <w:rPr>
          <w:rFonts w:ascii="Calibri"/>
          <w:b/>
          <w:spacing w:val="-1"/>
          <w:sz w:val="32"/>
        </w:rPr>
      </w:pPr>
      <w:r>
        <w:rPr>
          <w:noProof/>
        </w:rPr>
        <w:drawing>
          <wp:inline distT="0" distB="0" distL="0" distR="0" wp14:anchorId="6FD58D04" wp14:editId="6E8FCC5C">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642C050E" w14:textId="77777777" w:rsidR="00641659" w:rsidRDefault="00641659" w:rsidP="00641659">
      <w:pPr>
        <w:spacing w:before="1"/>
        <w:rPr>
          <w:rFonts w:ascii="Calibri" w:eastAsia="Calibri" w:hAnsi="Calibri" w:cs="Calibri"/>
          <w:b/>
          <w:bCs/>
          <w:sz w:val="24"/>
          <w:szCs w:val="24"/>
        </w:rPr>
      </w:pPr>
    </w:p>
    <w:p w14:paraId="07CAE4E6" w14:textId="77777777" w:rsidR="00641659" w:rsidRDefault="00641659" w:rsidP="00641659">
      <w:pPr>
        <w:spacing w:before="1"/>
        <w:jc w:val="center"/>
        <w:rPr>
          <w:rFonts w:ascii="Calibri" w:eastAsia="Calibri" w:hAnsi="Calibri" w:cs="Calibri"/>
          <w:bCs/>
          <w:sz w:val="64"/>
          <w:szCs w:val="64"/>
        </w:rPr>
      </w:pPr>
    </w:p>
    <w:p w14:paraId="0DBBF3DF" w14:textId="77777777" w:rsidR="00641659" w:rsidRPr="00851956" w:rsidRDefault="00641659" w:rsidP="00641659">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7E875AD8" w14:textId="77777777" w:rsidR="00641659" w:rsidRPr="00851956" w:rsidRDefault="00641659" w:rsidP="00641659">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29B51073" w14:textId="77777777" w:rsidR="00641659" w:rsidRPr="00C129FB" w:rsidRDefault="00641659" w:rsidP="00641659">
      <w:pPr>
        <w:spacing w:before="1"/>
        <w:jc w:val="center"/>
        <w:rPr>
          <w:rFonts w:ascii="Calibri" w:eastAsia="Calibri" w:hAnsi="Calibri" w:cs="Calibri"/>
          <w:bCs/>
          <w:sz w:val="56"/>
          <w:szCs w:val="56"/>
        </w:rPr>
      </w:pPr>
      <w:r>
        <w:rPr>
          <w:rFonts w:ascii="Calibri" w:eastAsia="Calibri" w:hAnsi="Calibri" w:cs="Calibri"/>
          <w:bCs/>
          <w:sz w:val="56"/>
          <w:szCs w:val="56"/>
        </w:rPr>
        <w:t xml:space="preserve">The Crematory Regulation </w:t>
      </w:r>
      <w:r w:rsidRPr="00C129FB">
        <w:rPr>
          <w:rFonts w:ascii="Calibri" w:eastAsia="Calibri" w:hAnsi="Calibri" w:cs="Calibri"/>
          <w:bCs/>
          <w:sz w:val="56"/>
          <w:szCs w:val="56"/>
        </w:rPr>
        <w:t>Act</w:t>
      </w:r>
    </w:p>
    <w:p w14:paraId="2244C88C" w14:textId="77777777" w:rsidR="00641659" w:rsidRDefault="00641659" w:rsidP="00641659">
      <w:pPr>
        <w:spacing w:before="1"/>
        <w:rPr>
          <w:rFonts w:ascii="Calibri" w:eastAsia="Calibri" w:hAnsi="Calibri" w:cs="Calibri"/>
          <w:bCs/>
          <w:sz w:val="52"/>
          <w:szCs w:val="64"/>
        </w:rPr>
      </w:pPr>
    </w:p>
    <w:p w14:paraId="43CE6240" w14:textId="52301C1F" w:rsidR="00641659" w:rsidRPr="00710BCB" w:rsidRDefault="00C54832" w:rsidP="00641659">
      <w:pPr>
        <w:spacing w:before="1"/>
        <w:jc w:val="center"/>
        <w:rPr>
          <w:rFonts w:ascii="Calibri" w:eastAsia="Calibri" w:hAnsi="Calibri" w:cs="Calibri"/>
          <w:bCs/>
          <w:sz w:val="44"/>
          <w:szCs w:val="44"/>
        </w:rPr>
      </w:pPr>
      <w:r w:rsidRPr="00C54832">
        <w:rPr>
          <w:rFonts w:ascii="Calibri" w:eastAsia="Calibri" w:hAnsi="Calibri" w:cs="Calibri"/>
          <w:bCs/>
          <w:sz w:val="44"/>
          <w:szCs w:val="44"/>
          <w:highlight w:val="yellow"/>
        </w:rPr>
        <w:t>Month Day</w:t>
      </w:r>
      <w:r w:rsidR="005733F7" w:rsidRPr="00710BCB">
        <w:rPr>
          <w:rFonts w:ascii="Calibri" w:eastAsia="Calibri" w:hAnsi="Calibri" w:cs="Calibri"/>
          <w:bCs/>
          <w:sz w:val="44"/>
          <w:szCs w:val="44"/>
        </w:rPr>
        <w:t>, 20</w:t>
      </w:r>
      <w:r w:rsidR="003A6EB0">
        <w:rPr>
          <w:rFonts w:ascii="Calibri" w:eastAsia="Calibri" w:hAnsi="Calibri" w:cs="Calibri"/>
          <w:bCs/>
          <w:sz w:val="44"/>
          <w:szCs w:val="44"/>
        </w:rPr>
        <w:t>2</w:t>
      </w:r>
      <w:r w:rsidR="00D34872">
        <w:rPr>
          <w:rFonts w:ascii="Calibri" w:eastAsia="Calibri" w:hAnsi="Calibri" w:cs="Calibri"/>
          <w:bCs/>
          <w:sz w:val="44"/>
          <w:szCs w:val="44"/>
        </w:rPr>
        <w:t>1</w:t>
      </w:r>
    </w:p>
    <w:p w14:paraId="5F9BFE5A" w14:textId="77777777" w:rsidR="00641659" w:rsidRDefault="00641659" w:rsidP="00641659">
      <w:pPr>
        <w:spacing w:before="1"/>
        <w:rPr>
          <w:rFonts w:ascii="Calibri" w:eastAsia="Calibri" w:hAnsi="Calibri" w:cs="Calibri"/>
          <w:b/>
          <w:bCs/>
          <w:sz w:val="24"/>
          <w:szCs w:val="24"/>
        </w:rPr>
      </w:pPr>
    </w:p>
    <w:p w14:paraId="7E799902" w14:textId="77777777" w:rsidR="00641659" w:rsidRDefault="00641659" w:rsidP="00641659">
      <w:pPr>
        <w:spacing w:before="1"/>
        <w:rPr>
          <w:rFonts w:ascii="Calibri" w:eastAsia="Calibri" w:hAnsi="Calibri" w:cs="Calibri"/>
          <w:b/>
          <w:bCs/>
          <w:sz w:val="24"/>
          <w:szCs w:val="24"/>
        </w:rPr>
      </w:pPr>
    </w:p>
    <w:p w14:paraId="19EFEB86" w14:textId="77777777" w:rsidR="00641659" w:rsidRDefault="00641659" w:rsidP="00641659">
      <w:pPr>
        <w:spacing w:before="1"/>
        <w:rPr>
          <w:rFonts w:ascii="Calibri" w:eastAsia="Calibri" w:hAnsi="Calibri" w:cs="Calibri"/>
          <w:b/>
          <w:bCs/>
          <w:sz w:val="24"/>
          <w:szCs w:val="24"/>
        </w:rPr>
      </w:pPr>
    </w:p>
    <w:p w14:paraId="242B28A8" w14:textId="77777777" w:rsidR="00710BCB" w:rsidRDefault="00710BCB" w:rsidP="00641659">
      <w:pPr>
        <w:spacing w:before="1"/>
        <w:jc w:val="center"/>
        <w:rPr>
          <w:rFonts w:ascii="Calibri" w:eastAsia="Calibri" w:hAnsi="Calibri" w:cs="Calibri"/>
          <w:b/>
          <w:bCs/>
        </w:rPr>
      </w:pPr>
    </w:p>
    <w:p w14:paraId="26C3789E" w14:textId="77777777" w:rsidR="00710BCB" w:rsidRDefault="00710BCB" w:rsidP="00641659">
      <w:pPr>
        <w:spacing w:before="1"/>
        <w:jc w:val="center"/>
        <w:rPr>
          <w:rFonts w:ascii="Calibri" w:eastAsia="Calibri" w:hAnsi="Calibri" w:cs="Calibri"/>
          <w:b/>
          <w:bCs/>
        </w:rPr>
      </w:pPr>
    </w:p>
    <w:p w14:paraId="33F71918" w14:textId="77777777" w:rsidR="00710BCB" w:rsidRDefault="00710BCB" w:rsidP="00641659">
      <w:pPr>
        <w:spacing w:before="1"/>
        <w:jc w:val="center"/>
        <w:rPr>
          <w:rFonts w:ascii="Calibri" w:eastAsia="Calibri" w:hAnsi="Calibri" w:cs="Calibri"/>
          <w:b/>
          <w:bCs/>
        </w:rPr>
      </w:pPr>
    </w:p>
    <w:p w14:paraId="298A8370" w14:textId="77777777" w:rsidR="00710BCB" w:rsidRDefault="00710BCB" w:rsidP="00641659">
      <w:pPr>
        <w:spacing w:before="1"/>
        <w:jc w:val="center"/>
        <w:rPr>
          <w:rFonts w:ascii="Calibri" w:eastAsia="Calibri" w:hAnsi="Calibri" w:cs="Calibri"/>
          <w:b/>
          <w:bCs/>
        </w:rPr>
      </w:pPr>
    </w:p>
    <w:p w14:paraId="41E131BC" w14:textId="77777777" w:rsidR="00641659" w:rsidRPr="00E675D7" w:rsidRDefault="00641659" w:rsidP="00641659">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773DCF29" w14:textId="77777777" w:rsidR="00641659" w:rsidRPr="00E675D7" w:rsidRDefault="00641659" w:rsidP="00641659">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19415E3E" w14:textId="77777777" w:rsidR="00641659" w:rsidRPr="00E675D7" w:rsidRDefault="00641659" w:rsidP="00641659">
      <w:pPr>
        <w:spacing w:before="1"/>
        <w:jc w:val="center"/>
        <w:rPr>
          <w:rFonts w:ascii="Calibri" w:eastAsia="Calibri" w:hAnsi="Calibri" w:cs="Calibri"/>
          <w:b/>
          <w:bCs/>
        </w:rPr>
      </w:pPr>
    </w:p>
    <w:p w14:paraId="7BC93E39" w14:textId="77777777" w:rsidR="00641659" w:rsidRPr="00E675D7" w:rsidRDefault="00641659" w:rsidP="00641659">
      <w:pPr>
        <w:spacing w:before="1"/>
        <w:jc w:val="center"/>
        <w:rPr>
          <w:rFonts w:ascii="Calibri" w:eastAsia="Calibri" w:hAnsi="Calibri" w:cs="Calibri"/>
          <w:b/>
          <w:bCs/>
        </w:rPr>
      </w:pPr>
    </w:p>
    <w:p w14:paraId="7264F868" w14:textId="77777777" w:rsidR="00641659" w:rsidRPr="00E675D7" w:rsidRDefault="00641659" w:rsidP="00641659">
      <w:pPr>
        <w:spacing w:before="1"/>
        <w:rPr>
          <w:rFonts w:ascii="Calibri" w:eastAsia="Calibri" w:hAnsi="Calibri" w:cs="Calibri"/>
          <w:bCs/>
        </w:rPr>
      </w:pPr>
      <w:r w:rsidRPr="00E675D7">
        <w:rPr>
          <w:rFonts w:ascii="Calibri" w:eastAsia="Calibri" w:hAnsi="Calibri" w:cs="Calibri"/>
          <w:bCs/>
        </w:rPr>
        <w:t>Governor Pritzker:</w:t>
      </w:r>
    </w:p>
    <w:p w14:paraId="269A969C" w14:textId="77777777" w:rsidR="00641659" w:rsidRPr="00E675D7" w:rsidRDefault="00641659" w:rsidP="00641659">
      <w:pPr>
        <w:spacing w:before="1"/>
        <w:rPr>
          <w:rFonts w:ascii="Calibri" w:eastAsia="Calibri" w:hAnsi="Calibri" w:cs="Calibri"/>
          <w:bCs/>
        </w:rPr>
      </w:pPr>
    </w:p>
    <w:p w14:paraId="139096A5" w14:textId="26E86707" w:rsidR="00641659" w:rsidRDefault="00641659" w:rsidP="00641659">
      <w:pPr>
        <w:spacing w:before="1"/>
        <w:rPr>
          <w:rFonts w:ascii="Calibri" w:eastAsia="Calibri" w:hAnsi="Calibri" w:cs="Calibri"/>
          <w:bCs/>
        </w:rPr>
      </w:pPr>
      <w:r w:rsidRPr="00E675D7">
        <w:rPr>
          <w:rFonts w:ascii="Calibri" w:eastAsia="Calibri" w:hAnsi="Calibri" w:cs="Calibri"/>
          <w:bCs/>
        </w:rPr>
        <w:t>The Governor’s Office of Management and Budget (GOMB),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w:t>
      </w:r>
      <w:r>
        <w:rPr>
          <w:rFonts w:ascii="Calibri" w:eastAsia="Calibri" w:hAnsi="Calibri" w:cs="Calibri"/>
          <w:bCs/>
        </w:rPr>
        <w:t xml:space="preserve">the </w:t>
      </w:r>
      <w:r w:rsidRPr="00641659">
        <w:rPr>
          <w:rFonts w:ascii="Calibri" w:eastAsia="Calibri" w:hAnsi="Calibri" w:cs="Calibri"/>
          <w:bCs/>
        </w:rPr>
        <w:t xml:space="preserve">Crematory Regulation Act </w:t>
      </w:r>
      <w:r w:rsidRPr="00E675D7">
        <w:rPr>
          <w:rFonts w:ascii="Calibri" w:eastAsia="Calibri" w:hAnsi="Calibri" w:cs="Calibri"/>
          <w:bCs/>
        </w:rPr>
        <w:t>(</w:t>
      </w:r>
      <w:r>
        <w:rPr>
          <w:rFonts w:ascii="Calibri" w:eastAsia="Calibri" w:hAnsi="Calibri" w:cs="Calibri"/>
          <w:bCs/>
        </w:rPr>
        <w:t>410 ILCS 18/1</w:t>
      </w:r>
      <w:r w:rsidRPr="00E675D7">
        <w:rPr>
          <w:rFonts w:ascii="Calibri" w:eastAsia="Calibri" w:hAnsi="Calibri" w:cs="Calibri"/>
          <w:bCs/>
        </w:rPr>
        <w:t>)</w:t>
      </w:r>
      <w:r w:rsidR="00BE16E4">
        <w:rPr>
          <w:rFonts w:ascii="Calibri" w:eastAsia="Calibri" w:hAnsi="Calibri" w:cs="Calibri"/>
          <w:bCs/>
        </w:rPr>
        <w:t xml:space="preserve">. </w:t>
      </w:r>
      <w:r w:rsidR="00BE16E4" w:rsidRPr="00AC53CE">
        <w:rPr>
          <w:rFonts w:ascii="Calibri" w:eastAsia="Calibri" w:hAnsi="Calibri" w:cs="Calibri"/>
          <w:bCs/>
        </w:rPr>
        <w:t xml:space="preserve">Public Act 101-639 extended this sunset until </w:t>
      </w:r>
      <w:r w:rsidR="00BE16E4">
        <w:rPr>
          <w:rFonts w:ascii="Calibri" w:eastAsia="Calibri" w:hAnsi="Calibri" w:cs="Calibri"/>
          <w:bCs/>
        </w:rPr>
        <w:t xml:space="preserve">January 1, 2022 </w:t>
      </w:r>
      <w:r w:rsidR="00BE16E4" w:rsidRPr="00AC53CE">
        <w:rPr>
          <w:rFonts w:ascii="Calibri" w:eastAsia="Calibri" w:hAnsi="Calibri" w:cs="Calibri"/>
          <w:bCs/>
        </w:rPr>
        <w:t>due to COVID-19</w:t>
      </w:r>
      <w:bookmarkStart w:id="0" w:name="_GoBack"/>
      <w:bookmarkEnd w:id="0"/>
      <w:r w:rsidRPr="00E675D7">
        <w:rPr>
          <w:rFonts w:ascii="Calibri" w:eastAsia="Calibri" w:hAnsi="Calibri" w:cs="Calibri"/>
          <w:bCs/>
        </w:rPr>
        <w:t>. As a result of this review, GOMB makes the following recommendation:</w:t>
      </w:r>
    </w:p>
    <w:p w14:paraId="2CF005B8" w14:textId="77777777" w:rsidR="00641659" w:rsidRDefault="00641659" w:rsidP="00641659">
      <w:pPr>
        <w:spacing w:before="1"/>
        <w:rPr>
          <w:rFonts w:ascii="Calibri" w:eastAsia="Calibri" w:hAnsi="Calibri" w:cs="Calibri"/>
          <w:bCs/>
        </w:rPr>
      </w:pPr>
    </w:p>
    <w:p w14:paraId="0F182C27" w14:textId="77777777" w:rsidR="00641659" w:rsidRPr="00205AEE" w:rsidRDefault="00641659" w:rsidP="00205AEE">
      <w:pPr>
        <w:spacing w:before="1"/>
      </w:pPr>
      <w:r w:rsidRPr="00205AEE">
        <w:rPr>
          <w:rFonts w:ascii="Calibri" w:eastAsia="Calibri" w:hAnsi="Calibri" w:cs="Calibri"/>
          <w:bCs/>
        </w:rPr>
        <w:t>The Crematory Regulation Act (410</w:t>
      </w:r>
      <w:r w:rsidR="00205AEE" w:rsidRPr="00205AEE">
        <w:rPr>
          <w:rFonts w:ascii="Calibri" w:eastAsia="Calibri" w:hAnsi="Calibri" w:cs="Calibri"/>
          <w:bCs/>
        </w:rPr>
        <w:t xml:space="preserve"> ILCS 18/1) should be continued.</w:t>
      </w:r>
    </w:p>
    <w:p w14:paraId="2D629283" w14:textId="77777777" w:rsidR="00641659" w:rsidRPr="00E675D7" w:rsidRDefault="00641659" w:rsidP="00641659">
      <w:pPr>
        <w:spacing w:before="1"/>
        <w:rPr>
          <w:rFonts w:ascii="Calibri" w:eastAsia="Calibri" w:hAnsi="Calibri" w:cs="Calibri"/>
          <w:bCs/>
        </w:rPr>
      </w:pPr>
    </w:p>
    <w:p w14:paraId="399B63DD" w14:textId="77777777" w:rsidR="00641659" w:rsidRPr="00E675D7" w:rsidRDefault="00641659" w:rsidP="00641659">
      <w:pPr>
        <w:rPr>
          <w:rFonts w:ascii="Calibri" w:eastAsia="Calibri" w:hAnsi="Calibri" w:cs="Calibri"/>
          <w:b/>
          <w:bCs/>
        </w:rPr>
      </w:pPr>
      <w:r w:rsidRPr="00E675D7">
        <w:rPr>
          <w:rFonts w:ascii="Calibri" w:eastAsia="Calibri" w:hAnsi="Calibri" w:cs="Calibri"/>
          <w:bCs/>
        </w:rPr>
        <w:t xml:space="preserve">GOMB’s examination of this </w:t>
      </w:r>
      <w:r>
        <w:rPr>
          <w:rFonts w:ascii="Calibri" w:eastAsia="Calibri" w:hAnsi="Calibri" w:cs="Calibri"/>
          <w:bCs/>
        </w:rPr>
        <w:t>A</w:t>
      </w:r>
      <w:r w:rsidRPr="00E675D7">
        <w:rPr>
          <w:rFonts w:ascii="Calibri" w:eastAsia="Calibri" w:hAnsi="Calibri" w:cs="Calibri"/>
          <w:bCs/>
        </w:rPr>
        <w:t xml:space="preserve">ct was conducted </w:t>
      </w:r>
      <w:proofErr w:type="gramStart"/>
      <w:r w:rsidRPr="00E675D7">
        <w:rPr>
          <w:rFonts w:ascii="Calibri" w:eastAsia="Calibri" w:hAnsi="Calibri" w:cs="Calibri"/>
          <w:bCs/>
        </w:rPr>
        <w:t>taking into account</w:t>
      </w:r>
      <w:proofErr w:type="gramEnd"/>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1952D893" w14:textId="77777777" w:rsidR="00641659" w:rsidRPr="00E675D7" w:rsidRDefault="00641659" w:rsidP="00641659">
      <w:pPr>
        <w:rPr>
          <w:rFonts w:ascii="Calibri" w:eastAsia="Calibri" w:hAnsi="Calibri" w:cs="Calibri"/>
          <w:b/>
          <w:bCs/>
        </w:rPr>
      </w:pPr>
    </w:p>
    <w:p w14:paraId="1A4B373A" w14:textId="77777777" w:rsidR="00641659" w:rsidRPr="00E675D7" w:rsidRDefault="00641659" w:rsidP="00641659">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52926BE9" w14:textId="77777777" w:rsidR="00641659" w:rsidRPr="00E675D7" w:rsidRDefault="00641659" w:rsidP="00641659">
      <w:pPr>
        <w:rPr>
          <w:rFonts w:ascii="Calibri" w:eastAsia="Calibri" w:hAnsi="Calibri" w:cs="Calibri"/>
          <w:bCs/>
        </w:rPr>
      </w:pPr>
    </w:p>
    <w:p w14:paraId="56429A31" w14:textId="77777777" w:rsidR="00641659" w:rsidRPr="00E675D7" w:rsidRDefault="00641659" w:rsidP="00641659">
      <w:pPr>
        <w:rPr>
          <w:rFonts w:ascii="Calibri" w:eastAsia="Calibri" w:hAnsi="Calibri" w:cs="Calibri"/>
          <w:bCs/>
        </w:rPr>
      </w:pPr>
      <w:r w:rsidRPr="00E675D7">
        <w:rPr>
          <w:rFonts w:ascii="Calibri" w:eastAsia="Calibri" w:hAnsi="Calibri" w:cs="Calibri"/>
          <w:bCs/>
        </w:rPr>
        <w:t xml:space="preserve">Alexis Sturm </w:t>
      </w:r>
    </w:p>
    <w:p w14:paraId="54222DC1" w14:textId="77777777" w:rsidR="00641659" w:rsidRPr="00E675D7" w:rsidRDefault="00641659" w:rsidP="00641659">
      <w:pPr>
        <w:rPr>
          <w:rFonts w:ascii="Calibri" w:eastAsia="Calibri" w:hAnsi="Calibri" w:cs="Calibri"/>
          <w:bCs/>
        </w:rPr>
      </w:pPr>
      <w:r w:rsidRPr="00E675D7">
        <w:rPr>
          <w:rFonts w:ascii="Calibri" w:eastAsia="Calibri" w:hAnsi="Calibri" w:cs="Calibri"/>
          <w:bCs/>
        </w:rPr>
        <w:t>Director</w:t>
      </w:r>
    </w:p>
    <w:p w14:paraId="3E422ACB" w14:textId="77777777" w:rsidR="00641659" w:rsidRPr="00E675D7" w:rsidRDefault="00641659" w:rsidP="00641659">
      <w:pPr>
        <w:rPr>
          <w:rFonts w:ascii="Calibri" w:eastAsia="Calibri" w:hAnsi="Calibri" w:cs="Calibri"/>
          <w:bCs/>
        </w:rPr>
      </w:pPr>
      <w:r w:rsidRPr="00E675D7">
        <w:rPr>
          <w:rFonts w:ascii="Calibri" w:eastAsia="Calibri" w:hAnsi="Calibri" w:cs="Calibri"/>
          <w:bCs/>
        </w:rPr>
        <w:t xml:space="preserve">Governor’s Office of Management and Budget                                  </w:t>
      </w:r>
    </w:p>
    <w:p w14:paraId="0B7073E2" w14:textId="77777777" w:rsidR="00641659" w:rsidRDefault="00641659" w:rsidP="00641659">
      <w:pPr>
        <w:rPr>
          <w:rFonts w:ascii="Calibri" w:eastAsia="Calibri" w:hAnsi="Calibri" w:cs="Calibri"/>
          <w:b/>
          <w:bCs/>
          <w:sz w:val="24"/>
          <w:szCs w:val="24"/>
        </w:rPr>
      </w:pPr>
    </w:p>
    <w:p w14:paraId="741A592D" w14:textId="77777777" w:rsidR="00641659" w:rsidRDefault="00641659" w:rsidP="00641659">
      <w:pPr>
        <w:spacing w:before="1"/>
        <w:rPr>
          <w:rFonts w:ascii="Calibri" w:eastAsia="Calibri" w:hAnsi="Calibri" w:cs="Calibri"/>
          <w:b/>
          <w:bCs/>
          <w:sz w:val="24"/>
          <w:szCs w:val="24"/>
        </w:rPr>
      </w:pPr>
    </w:p>
    <w:p w14:paraId="31DBF667" w14:textId="77777777" w:rsidR="00641659" w:rsidRDefault="00641659" w:rsidP="00641659">
      <w:pPr>
        <w:spacing w:before="1"/>
        <w:rPr>
          <w:rFonts w:ascii="Calibri" w:eastAsia="Calibri" w:hAnsi="Calibri" w:cs="Calibri"/>
          <w:b/>
          <w:bCs/>
          <w:sz w:val="24"/>
          <w:szCs w:val="24"/>
        </w:rPr>
        <w:sectPr w:rsidR="00641659">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E88AC5A" w14:textId="77777777" w:rsidR="00641659" w:rsidRPr="00380377" w:rsidRDefault="00641659" w:rsidP="00641659">
      <w:pPr>
        <w:spacing w:before="1"/>
        <w:rPr>
          <w:b/>
          <w:i/>
        </w:rPr>
      </w:pPr>
      <w:r w:rsidRPr="00380377">
        <w:rPr>
          <w:b/>
          <w:i/>
        </w:rPr>
        <w:lastRenderedPageBreak/>
        <w:t xml:space="preserve">Criteria (1) “The extent to which the agency or program has permitted qualified applicants to serve the public.” </w:t>
      </w:r>
    </w:p>
    <w:p w14:paraId="3C48D7DB" w14:textId="77777777" w:rsidR="00641659" w:rsidRDefault="00641659" w:rsidP="00641659">
      <w:pPr>
        <w:spacing w:before="1"/>
        <w:rPr>
          <w:i/>
        </w:rPr>
      </w:pPr>
    </w:p>
    <w:p w14:paraId="518DBA42" w14:textId="77777777" w:rsidR="00641659" w:rsidRDefault="00641659" w:rsidP="00641659">
      <w:pPr>
        <w:spacing w:before="1"/>
      </w:pPr>
      <w:r>
        <w:t xml:space="preserve">As of </w:t>
      </w:r>
      <w:r w:rsidR="00871D95">
        <w:t>June 2018</w:t>
      </w:r>
      <w:r>
        <w:t xml:space="preserve">, there are </w:t>
      </w:r>
      <w:r w:rsidR="00205AEE">
        <w:t xml:space="preserve">193 licensed crematories </w:t>
      </w:r>
      <w:r>
        <w:t xml:space="preserve">in Illinois. </w:t>
      </w:r>
    </w:p>
    <w:p w14:paraId="452F5DAD" w14:textId="77777777" w:rsidR="00641659" w:rsidRDefault="00641659" w:rsidP="00641659">
      <w:pPr>
        <w:spacing w:before="1"/>
      </w:pPr>
    </w:p>
    <w:tbl>
      <w:tblPr>
        <w:tblStyle w:val="TableGrid"/>
        <w:tblW w:w="0" w:type="auto"/>
        <w:jc w:val="center"/>
        <w:tblLook w:val="04A0" w:firstRow="1" w:lastRow="0" w:firstColumn="1" w:lastColumn="0" w:noHBand="0" w:noVBand="1"/>
      </w:tblPr>
      <w:tblGrid>
        <w:gridCol w:w="4075"/>
        <w:gridCol w:w="827"/>
        <w:gridCol w:w="774"/>
        <w:gridCol w:w="774"/>
        <w:gridCol w:w="810"/>
        <w:gridCol w:w="829"/>
      </w:tblGrid>
      <w:tr w:rsidR="00641659" w14:paraId="40472F53" w14:textId="77777777" w:rsidTr="00695DC9">
        <w:trPr>
          <w:jc w:val="center"/>
        </w:trPr>
        <w:tc>
          <w:tcPr>
            <w:tcW w:w="4075" w:type="dxa"/>
            <w:tcBorders>
              <w:top w:val="single" w:sz="12" w:space="0" w:color="auto"/>
              <w:left w:val="single" w:sz="12" w:space="0" w:color="auto"/>
              <w:bottom w:val="single" w:sz="4" w:space="0" w:color="000000"/>
              <w:right w:val="single" w:sz="12" w:space="0" w:color="auto"/>
            </w:tcBorders>
          </w:tcPr>
          <w:p w14:paraId="45299EAC" w14:textId="77777777" w:rsidR="00641659" w:rsidRPr="000C0BCE" w:rsidRDefault="00641659" w:rsidP="00695DC9">
            <w:pPr>
              <w:spacing w:before="1"/>
              <w:jc w:val="center"/>
              <w:rPr>
                <w:b/>
              </w:rPr>
            </w:pPr>
            <w:r>
              <w:rPr>
                <w:b/>
              </w:rPr>
              <w:t>License Type</w:t>
            </w:r>
          </w:p>
        </w:tc>
        <w:tc>
          <w:tcPr>
            <w:tcW w:w="827" w:type="dxa"/>
            <w:tcBorders>
              <w:top w:val="single" w:sz="12" w:space="0" w:color="auto"/>
              <w:left w:val="single" w:sz="12" w:space="0" w:color="auto"/>
              <w:bottom w:val="single" w:sz="4" w:space="0" w:color="000000"/>
              <w:right w:val="single" w:sz="12" w:space="0" w:color="auto"/>
            </w:tcBorders>
          </w:tcPr>
          <w:p w14:paraId="68B90ABE" w14:textId="77777777" w:rsidR="00641659" w:rsidRPr="000C0BCE" w:rsidRDefault="00641659" w:rsidP="00695DC9">
            <w:pPr>
              <w:spacing w:before="1"/>
              <w:jc w:val="center"/>
              <w:rPr>
                <w:b/>
              </w:rPr>
            </w:pPr>
            <w:r w:rsidRPr="000C0BCE">
              <w:rPr>
                <w:b/>
              </w:rPr>
              <w:t>20</w:t>
            </w:r>
            <w:r>
              <w:rPr>
                <w:b/>
              </w:rPr>
              <w:t>15</w:t>
            </w:r>
          </w:p>
        </w:tc>
        <w:tc>
          <w:tcPr>
            <w:tcW w:w="774" w:type="dxa"/>
            <w:tcBorders>
              <w:top w:val="single" w:sz="12" w:space="0" w:color="auto"/>
              <w:left w:val="single" w:sz="12" w:space="0" w:color="auto"/>
              <w:bottom w:val="single" w:sz="4" w:space="0" w:color="000000"/>
              <w:right w:val="single" w:sz="12" w:space="0" w:color="auto"/>
            </w:tcBorders>
          </w:tcPr>
          <w:p w14:paraId="1DDE0832" w14:textId="77777777" w:rsidR="00641659" w:rsidRPr="000C0BCE" w:rsidRDefault="00641659" w:rsidP="00695DC9">
            <w:pPr>
              <w:spacing w:before="1"/>
              <w:jc w:val="center"/>
              <w:rPr>
                <w:b/>
              </w:rPr>
            </w:pPr>
            <w:r>
              <w:rPr>
                <w:b/>
              </w:rPr>
              <w:t>2016</w:t>
            </w:r>
          </w:p>
        </w:tc>
        <w:tc>
          <w:tcPr>
            <w:tcW w:w="774" w:type="dxa"/>
            <w:tcBorders>
              <w:top w:val="single" w:sz="12" w:space="0" w:color="auto"/>
              <w:left w:val="single" w:sz="12" w:space="0" w:color="auto"/>
              <w:bottom w:val="single" w:sz="4" w:space="0" w:color="000000"/>
              <w:right w:val="single" w:sz="12" w:space="0" w:color="auto"/>
            </w:tcBorders>
          </w:tcPr>
          <w:p w14:paraId="69ED3297" w14:textId="77777777" w:rsidR="00641659" w:rsidRPr="000C0BCE" w:rsidRDefault="00641659" w:rsidP="00695DC9">
            <w:pPr>
              <w:spacing w:before="1"/>
              <w:jc w:val="center"/>
              <w:rPr>
                <w:b/>
              </w:rPr>
            </w:pPr>
            <w:r>
              <w:rPr>
                <w:b/>
              </w:rPr>
              <w:t>2017</w:t>
            </w:r>
          </w:p>
        </w:tc>
        <w:tc>
          <w:tcPr>
            <w:tcW w:w="810" w:type="dxa"/>
            <w:tcBorders>
              <w:top w:val="single" w:sz="12" w:space="0" w:color="auto"/>
              <w:left w:val="single" w:sz="12" w:space="0" w:color="auto"/>
              <w:bottom w:val="single" w:sz="4" w:space="0" w:color="000000"/>
              <w:right w:val="single" w:sz="12" w:space="0" w:color="auto"/>
            </w:tcBorders>
          </w:tcPr>
          <w:p w14:paraId="4BBAAF2F" w14:textId="77777777" w:rsidR="00641659" w:rsidRPr="000C0BCE" w:rsidRDefault="00641659" w:rsidP="00695DC9">
            <w:pPr>
              <w:spacing w:before="1"/>
              <w:jc w:val="center"/>
              <w:rPr>
                <w:b/>
              </w:rPr>
            </w:pPr>
            <w:r>
              <w:rPr>
                <w:b/>
              </w:rPr>
              <w:t>2018</w:t>
            </w:r>
          </w:p>
        </w:tc>
        <w:tc>
          <w:tcPr>
            <w:tcW w:w="829" w:type="dxa"/>
            <w:tcBorders>
              <w:top w:val="single" w:sz="12" w:space="0" w:color="auto"/>
              <w:left w:val="single" w:sz="12" w:space="0" w:color="auto"/>
              <w:bottom w:val="single" w:sz="4" w:space="0" w:color="000000"/>
              <w:right w:val="single" w:sz="12" w:space="0" w:color="auto"/>
            </w:tcBorders>
          </w:tcPr>
          <w:p w14:paraId="53DF803B" w14:textId="77777777" w:rsidR="00641659" w:rsidRPr="000C0BCE" w:rsidRDefault="00641659" w:rsidP="00695DC9">
            <w:pPr>
              <w:spacing w:before="1"/>
              <w:jc w:val="center"/>
              <w:rPr>
                <w:b/>
              </w:rPr>
            </w:pPr>
            <w:r>
              <w:rPr>
                <w:b/>
              </w:rPr>
              <w:t>2019</w:t>
            </w:r>
          </w:p>
        </w:tc>
      </w:tr>
      <w:tr w:rsidR="00641659" w14:paraId="51644226" w14:textId="77777777" w:rsidTr="00695DC9">
        <w:trPr>
          <w:jc w:val="center"/>
        </w:trPr>
        <w:tc>
          <w:tcPr>
            <w:tcW w:w="4075" w:type="dxa"/>
            <w:tcBorders>
              <w:top w:val="single" w:sz="4" w:space="0" w:color="000000"/>
              <w:left w:val="single" w:sz="4" w:space="0" w:color="000000"/>
              <w:bottom w:val="single" w:sz="4" w:space="0" w:color="000000"/>
              <w:right w:val="single" w:sz="4" w:space="0" w:color="000000"/>
            </w:tcBorders>
          </w:tcPr>
          <w:p w14:paraId="05EF5F78" w14:textId="77777777" w:rsidR="00641659" w:rsidRPr="007D5EFA" w:rsidRDefault="00871D95" w:rsidP="00695DC9">
            <w:pPr>
              <w:spacing w:before="1"/>
            </w:pPr>
            <w:r>
              <w:t>Crematory</w:t>
            </w:r>
            <w:r w:rsidR="00641659">
              <w:t xml:space="preserve"> License</w:t>
            </w:r>
          </w:p>
        </w:tc>
        <w:tc>
          <w:tcPr>
            <w:tcW w:w="827" w:type="dxa"/>
            <w:tcBorders>
              <w:top w:val="single" w:sz="4" w:space="0" w:color="000000"/>
              <w:left w:val="single" w:sz="4" w:space="0" w:color="000000"/>
              <w:bottom w:val="single" w:sz="4" w:space="0" w:color="000000"/>
              <w:right w:val="single" w:sz="4" w:space="0" w:color="000000"/>
            </w:tcBorders>
          </w:tcPr>
          <w:p w14:paraId="4B2E29AD" w14:textId="77777777" w:rsidR="00641659" w:rsidRPr="00205AEE" w:rsidRDefault="00641659" w:rsidP="00695DC9">
            <w:pPr>
              <w:spacing w:before="1"/>
              <w:jc w:val="center"/>
            </w:pPr>
            <w:r w:rsidRPr="00205AEE">
              <w:t>x</w:t>
            </w:r>
          </w:p>
        </w:tc>
        <w:tc>
          <w:tcPr>
            <w:tcW w:w="774" w:type="dxa"/>
            <w:tcBorders>
              <w:top w:val="single" w:sz="4" w:space="0" w:color="000000"/>
              <w:left w:val="single" w:sz="4" w:space="0" w:color="000000"/>
              <w:bottom w:val="single" w:sz="4" w:space="0" w:color="000000"/>
              <w:right w:val="single" w:sz="4" w:space="0" w:color="000000"/>
            </w:tcBorders>
          </w:tcPr>
          <w:p w14:paraId="4501BCB2" w14:textId="77777777" w:rsidR="00641659" w:rsidRPr="00205AEE" w:rsidRDefault="00BF5371" w:rsidP="00695DC9">
            <w:pPr>
              <w:spacing w:before="1"/>
              <w:jc w:val="center"/>
            </w:pPr>
            <w:r w:rsidRPr="00205AEE">
              <w:t>132</w:t>
            </w:r>
          </w:p>
        </w:tc>
        <w:tc>
          <w:tcPr>
            <w:tcW w:w="774" w:type="dxa"/>
            <w:tcBorders>
              <w:top w:val="single" w:sz="4" w:space="0" w:color="000000"/>
              <w:left w:val="single" w:sz="4" w:space="0" w:color="000000"/>
              <w:bottom w:val="single" w:sz="4" w:space="0" w:color="000000"/>
              <w:right w:val="single" w:sz="4" w:space="0" w:color="000000"/>
            </w:tcBorders>
          </w:tcPr>
          <w:p w14:paraId="6EB0D340" w14:textId="77777777" w:rsidR="00641659" w:rsidRPr="00205AEE" w:rsidRDefault="00BF5371" w:rsidP="00695DC9">
            <w:pPr>
              <w:spacing w:before="1"/>
              <w:jc w:val="center"/>
            </w:pPr>
            <w:r w:rsidRPr="00205AEE">
              <w:t>136</w:t>
            </w:r>
          </w:p>
        </w:tc>
        <w:tc>
          <w:tcPr>
            <w:tcW w:w="810" w:type="dxa"/>
            <w:tcBorders>
              <w:top w:val="single" w:sz="4" w:space="0" w:color="000000"/>
              <w:left w:val="single" w:sz="4" w:space="0" w:color="000000"/>
              <w:bottom w:val="single" w:sz="4" w:space="0" w:color="000000"/>
              <w:right w:val="single" w:sz="4" w:space="0" w:color="000000"/>
            </w:tcBorders>
          </w:tcPr>
          <w:p w14:paraId="10A52F3F" w14:textId="77777777" w:rsidR="00641659" w:rsidRPr="00205AEE" w:rsidRDefault="00641659" w:rsidP="00695DC9">
            <w:pPr>
              <w:spacing w:before="1"/>
              <w:jc w:val="center"/>
            </w:pPr>
            <w:r w:rsidRPr="00205AEE">
              <w:t>x</w:t>
            </w:r>
          </w:p>
        </w:tc>
        <w:tc>
          <w:tcPr>
            <w:tcW w:w="829" w:type="dxa"/>
            <w:tcBorders>
              <w:top w:val="single" w:sz="4" w:space="0" w:color="000000"/>
              <w:left w:val="single" w:sz="4" w:space="0" w:color="000000"/>
              <w:bottom w:val="single" w:sz="4" w:space="0" w:color="000000"/>
              <w:right w:val="single" w:sz="4" w:space="0" w:color="000000"/>
            </w:tcBorders>
          </w:tcPr>
          <w:p w14:paraId="2C123411" w14:textId="77777777" w:rsidR="00641659" w:rsidRPr="007D5EFA" w:rsidRDefault="00871D95" w:rsidP="00695DC9">
            <w:pPr>
              <w:spacing w:before="1"/>
              <w:jc w:val="center"/>
            </w:pPr>
            <w:r>
              <w:t>193</w:t>
            </w:r>
          </w:p>
        </w:tc>
      </w:tr>
    </w:tbl>
    <w:p w14:paraId="0E4A7AB5" w14:textId="77777777" w:rsidR="00641659" w:rsidRDefault="00641659" w:rsidP="00641659">
      <w:pPr>
        <w:spacing w:before="1"/>
      </w:pPr>
    </w:p>
    <w:p w14:paraId="5A522F7E" w14:textId="77777777" w:rsidR="00641659" w:rsidRDefault="00641659" w:rsidP="00641659">
      <w:pPr>
        <w:spacing w:before="1"/>
      </w:pPr>
    </w:p>
    <w:p w14:paraId="1DF4E864" w14:textId="77777777" w:rsidR="00641659" w:rsidRDefault="00641659" w:rsidP="00641659">
      <w:pPr>
        <w:spacing w:before="1"/>
      </w:pPr>
      <w:r>
        <w:t>The current licensure fee structure is as follows:</w:t>
      </w:r>
    </w:p>
    <w:p w14:paraId="57840238" w14:textId="77777777" w:rsidR="00641659" w:rsidRDefault="00641659" w:rsidP="00641659">
      <w:pPr>
        <w:spacing w:before="1"/>
      </w:pPr>
    </w:p>
    <w:tbl>
      <w:tblPr>
        <w:tblStyle w:val="TableGrid"/>
        <w:tblW w:w="0" w:type="auto"/>
        <w:tblLook w:val="04A0" w:firstRow="1" w:lastRow="0" w:firstColumn="1" w:lastColumn="0" w:noHBand="0" w:noVBand="1"/>
      </w:tblPr>
      <w:tblGrid>
        <w:gridCol w:w="5126"/>
        <w:gridCol w:w="5124"/>
      </w:tblGrid>
      <w:tr w:rsidR="00641659" w14:paraId="56938ECF" w14:textId="77777777" w:rsidTr="00695DC9">
        <w:tc>
          <w:tcPr>
            <w:tcW w:w="5126" w:type="dxa"/>
            <w:tcBorders>
              <w:top w:val="single" w:sz="12" w:space="0" w:color="auto"/>
              <w:left w:val="single" w:sz="12" w:space="0" w:color="auto"/>
              <w:bottom w:val="single" w:sz="12" w:space="0" w:color="auto"/>
              <w:right w:val="single" w:sz="12" w:space="0" w:color="auto"/>
            </w:tcBorders>
          </w:tcPr>
          <w:p w14:paraId="7E55F987" w14:textId="77777777" w:rsidR="00641659" w:rsidRPr="00380377" w:rsidRDefault="00641659" w:rsidP="00695DC9">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4352B26B" w14:textId="77777777" w:rsidR="00641659" w:rsidRPr="00380377" w:rsidRDefault="00641659" w:rsidP="00695DC9">
            <w:pPr>
              <w:jc w:val="center"/>
              <w:rPr>
                <w:b/>
              </w:rPr>
            </w:pPr>
            <w:r w:rsidRPr="00380377">
              <w:rPr>
                <w:b/>
              </w:rPr>
              <w:t>Fee Amount</w:t>
            </w:r>
          </w:p>
        </w:tc>
      </w:tr>
      <w:tr w:rsidR="00641659" w14:paraId="2B57F0E9" w14:textId="77777777" w:rsidTr="00695DC9">
        <w:tc>
          <w:tcPr>
            <w:tcW w:w="5126" w:type="dxa"/>
            <w:tcBorders>
              <w:top w:val="single" w:sz="12" w:space="0" w:color="auto"/>
            </w:tcBorders>
          </w:tcPr>
          <w:p w14:paraId="75DA702A" w14:textId="77777777" w:rsidR="00641659" w:rsidRPr="007D5EFA" w:rsidRDefault="00871D95" w:rsidP="00695DC9">
            <w:pPr>
              <w:spacing w:before="1"/>
            </w:pPr>
            <w:r>
              <w:t xml:space="preserve">Crematory License </w:t>
            </w:r>
            <w:r w:rsidR="00641659">
              <w:t>Application fee</w:t>
            </w:r>
          </w:p>
        </w:tc>
        <w:tc>
          <w:tcPr>
            <w:tcW w:w="5124" w:type="dxa"/>
            <w:tcBorders>
              <w:top w:val="single" w:sz="12" w:space="0" w:color="auto"/>
            </w:tcBorders>
            <w:vAlign w:val="center"/>
          </w:tcPr>
          <w:p w14:paraId="580DFAB6" w14:textId="77777777" w:rsidR="00641659" w:rsidRDefault="00871D95" w:rsidP="00871D95">
            <w:pPr>
              <w:jc w:val="center"/>
            </w:pPr>
            <w:r>
              <w:t>$50</w:t>
            </w:r>
          </w:p>
        </w:tc>
      </w:tr>
      <w:tr w:rsidR="00641659" w14:paraId="1EAEFA8D" w14:textId="77777777" w:rsidTr="00695DC9">
        <w:tc>
          <w:tcPr>
            <w:tcW w:w="5126" w:type="dxa"/>
          </w:tcPr>
          <w:p w14:paraId="67C1D77C" w14:textId="77777777" w:rsidR="00641659" w:rsidRDefault="00871D95" w:rsidP="00871D95">
            <w:r>
              <w:t>Crematory License Annual fee</w:t>
            </w:r>
          </w:p>
        </w:tc>
        <w:tc>
          <w:tcPr>
            <w:tcW w:w="5124" w:type="dxa"/>
            <w:vAlign w:val="center"/>
          </w:tcPr>
          <w:p w14:paraId="12749CC5" w14:textId="77777777" w:rsidR="00641659" w:rsidRDefault="00641659" w:rsidP="00871D95">
            <w:pPr>
              <w:jc w:val="center"/>
            </w:pPr>
            <w:r w:rsidRPr="00681237">
              <w:t>$</w:t>
            </w:r>
            <w:r w:rsidR="00871D95">
              <w:t>25</w:t>
            </w:r>
          </w:p>
        </w:tc>
      </w:tr>
    </w:tbl>
    <w:p w14:paraId="39CEA38D" w14:textId="77777777" w:rsidR="00641659" w:rsidRDefault="00641659" w:rsidP="00641659"/>
    <w:p w14:paraId="47653821" w14:textId="77777777" w:rsidR="00871D95" w:rsidRPr="00871D95" w:rsidRDefault="00871D95" w:rsidP="00871D95">
      <w:r>
        <w:t>All fifty states</w:t>
      </w:r>
      <w:r w:rsidRPr="00871D95">
        <w:t xml:space="preserve"> regulate cremation in some way.  About half require a certification to operate c</w:t>
      </w:r>
      <w:r w:rsidR="00926C04">
        <w:t>rematory equipment, including Illinois. Illinois</w:t>
      </w:r>
      <w:r w:rsidRPr="00871D95">
        <w:t xml:space="preserve"> is different from some states like Florida and Missouri, in that it licenses the crematory as a facility, but does not license the funeral home as a facility.  </w:t>
      </w:r>
    </w:p>
    <w:p w14:paraId="11273703" w14:textId="77777777" w:rsidR="00641659" w:rsidRPr="00871D95" w:rsidRDefault="00641659" w:rsidP="00871D95">
      <w:pPr>
        <w:rPr>
          <w:u w:val="single"/>
        </w:rPr>
      </w:pPr>
    </w:p>
    <w:p w14:paraId="28762C95" w14:textId="77777777" w:rsidR="00871D95" w:rsidRPr="00871D95" w:rsidRDefault="00871D95" w:rsidP="00871D95">
      <w:pPr>
        <w:rPr>
          <w:u w:val="single"/>
        </w:rPr>
      </w:pPr>
    </w:p>
    <w:p w14:paraId="58991656" w14:textId="77777777" w:rsidR="00641659" w:rsidRPr="00806E4A" w:rsidRDefault="00641659" w:rsidP="00806E4A">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03FAC2A7" w14:textId="77777777" w:rsidR="00BF5371" w:rsidRDefault="00BF5371" w:rsidP="00641659"/>
    <w:p w14:paraId="460A393D" w14:textId="77777777" w:rsidR="00BF5371" w:rsidRPr="00BF5371" w:rsidRDefault="005733F7" w:rsidP="00BF5371">
      <w:r>
        <w:t>The Illinois</w:t>
      </w:r>
      <w:r w:rsidRPr="00BF5371">
        <w:t xml:space="preserve"> Office</w:t>
      </w:r>
      <w:r>
        <w:t xml:space="preserve"> of the Comptroller (IOC) reports that there are </w:t>
      </w:r>
      <w:proofErr w:type="gramStart"/>
      <w:r>
        <w:t>female</w:t>
      </w:r>
      <w:proofErr w:type="gramEnd"/>
      <w:r w:rsidR="00BF5371" w:rsidRPr="00BF5371">
        <w:t xml:space="preserve"> and minority </w:t>
      </w:r>
      <w:r w:rsidR="00BF5371">
        <w:t>owned crematories licensed in Illinois</w:t>
      </w:r>
      <w:r w:rsidR="00205AEE">
        <w:t>.</w:t>
      </w:r>
      <w:r w:rsidR="00BF0A4D">
        <w:t xml:space="preserve"> However, </w:t>
      </w:r>
      <w:r>
        <w:t xml:space="preserve">data on percentage and geographic distribution </w:t>
      </w:r>
      <w:r w:rsidR="00BF0A4D">
        <w:t>was not available at the time of this report</w:t>
      </w:r>
      <w:r>
        <w:t>.</w:t>
      </w:r>
    </w:p>
    <w:p w14:paraId="1142B852" w14:textId="77777777" w:rsidR="00641659" w:rsidRDefault="00641659" w:rsidP="00641659"/>
    <w:p w14:paraId="47A5EF7D" w14:textId="77777777" w:rsidR="00806E4A" w:rsidRDefault="00806E4A" w:rsidP="00641659"/>
    <w:p w14:paraId="43E1761C" w14:textId="77777777" w:rsidR="00641659" w:rsidRPr="00380377" w:rsidRDefault="00641659" w:rsidP="00641659">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3B7CF8FF" w14:textId="77777777" w:rsidR="00BF5371" w:rsidRDefault="00BF5371" w:rsidP="00641659">
      <w:pPr>
        <w:rPr>
          <w:color w:val="FF0000"/>
        </w:rPr>
      </w:pPr>
    </w:p>
    <w:p w14:paraId="44692CE6" w14:textId="77777777" w:rsidR="00BF5371" w:rsidRDefault="00BF5371" w:rsidP="00641659">
      <w:r w:rsidRPr="00BF5371">
        <w:t>The</w:t>
      </w:r>
      <w:r w:rsidR="005733F7">
        <w:t xml:space="preserve"> IOC </w:t>
      </w:r>
      <w:r w:rsidR="00E14540">
        <w:t xml:space="preserve">believes that the Crematory Regulation Act has functioned </w:t>
      </w:r>
      <w:r w:rsidR="00710BCB">
        <w:t>in</w:t>
      </w:r>
      <w:r w:rsidR="00E14540">
        <w:t xml:space="preserve"> the public interest. The IOC</w:t>
      </w:r>
      <w:r w:rsidRPr="00BF5371">
        <w:t xml:space="preserve"> </w:t>
      </w:r>
      <w:r w:rsidR="005733F7">
        <w:t>has recommended</w:t>
      </w:r>
      <w:r w:rsidRPr="00BF5371">
        <w:t xml:space="preserve"> future amendments to the statute to allow for </w:t>
      </w:r>
      <w:r w:rsidR="005733F7">
        <w:t xml:space="preserve">enhanced </w:t>
      </w:r>
      <w:r w:rsidRPr="00BF5371">
        <w:t xml:space="preserve">exchange of information from the </w:t>
      </w:r>
      <w:r w:rsidR="00BE7181">
        <w:t xml:space="preserve">Illinois Environmental Protection Agency and </w:t>
      </w:r>
      <w:r w:rsidRPr="00BF5371">
        <w:t>D</w:t>
      </w:r>
      <w:r w:rsidR="00BE7181">
        <w:t>epartment of Financial and Professional Regulation</w:t>
      </w:r>
      <w:r w:rsidR="00926C04">
        <w:t xml:space="preserve"> regarding permits, licenses</w:t>
      </w:r>
      <w:r w:rsidRPr="00BF5371">
        <w:t xml:space="preserve"> and disciplinary actions.</w:t>
      </w:r>
    </w:p>
    <w:p w14:paraId="11EC3A5D" w14:textId="77777777" w:rsidR="00641659" w:rsidRDefault="00641659" w:rsidP="00641659"/>
    <w:p w14:paraId="2E87CE37" w14:textId="77777777" w:rsidR="00641659" w:rsidRDefault="00641659" w:rsidP="00641659">
      <w:pPr>
        <w:rPr>
          <w:b/>
          <w:i/>
        </w:rPr>
      </w:pPr>
    </w:p>
    <w:p w14:paraId="2AFED1F3" w14:textId="77777777" w:rsidR="00641659" w:rsidRPr="00380377" w:rsidRDefault="00641659" w:rsidP="00641659">
      <w:pPr>
        <w:rPr>
          <w:b/>
          <w:i/>
        </w:rPr>
      </w:pPr>
      <w:r w:rsidRPr="00380377">
        <w:rPr>
          <w:b/>
          <w:i/>
        </w:rPr>
        <w:t>Criteria (4) “The extent to which the agency running the program has recommended statutory changes to the General Assembly that would benefit the public as opposed to the persons it regulates.”</w:t>
      </w:r>
    </w:p>
    <w:p w14:paraId="0CC91313" w14:textId="77777777" w:rsidR="00641659" w:rsidRPr="00F7075F" w:rsidRDefault="00641659" w:rsidP="00641659">
      <w:pPr>
        <w:rPr>
          <w:i/>
        </w:rPr>
      </w:pPr>
    </w:p>
    <w:p w14:paraId="18ED716F" w14:textId="77777777" w:rsidR="00BF5371" w:rsidRPr="00BF5371" w:rsidRDefault="0066089E" w:rsidP="00641659">
      <w:pPr>
        <w:rPr>
          <w:color w:val="FF0000"/>
        </w:rPr>
      </w:pPr>
      <w:r>
        <w:t xml:space="preserve">The IOC </w:t>
      </w:r>
      <w:r w:rsidR="005733F7">
        <w:t xml:space="preserve">successfully </w:t>
      </w:r>
      <w:r>
        <w:t xml:space="preserve">recommended a statutory change in 2011. </w:t>
      </w:r>
      <w:r w:rsidR="002F1301">
        <w:t>Sin</w:t>
      </w:r>
      <w:r>
        <w:t>ce the single rulemaking in this period,</w:t>
      </w:r>
      <w:r w:rsidR="002F1301">
        <w:t xml:space="preserve"> </w:t>
      </w:r>
      <w:r>
        <w:t>t</w:t>
      </w:r>
      <w:r w:rsidR="00BF5371" w:rsidRPr="00BF5371">
        <w:t>he IOC has not recommended statutory changes to the General Assembly.</w:t>
      </w:r>
    </w:p>
    <w:p w14:paraId="68256545" w14:textId="77777777" w:rsidR="00641659" w:rsidRPr="00F4306B" w:rsidRDefault="00641659" w:rsidP="00641659"/>
    <w:p w14:paraId="7DAAFFE0" w14:textId="77777777" w:rsidR="00641659" w:rsidRDefault="00641659" w:rsidP="00641659"/>
    <w:p w14:paraId="24271F3A" w14:textId="77777777" w:rsidR="00710BCB" w:rsidRDefault="00710BCB" w:rsidP="00641659">
      <w:pPr>
        <w:rPr>
          <w:b/>
          <w:i/>
        </w:rPr>
      </w:pPr>
    </w:p>
    <w:p w14:paraId="0BE5A873" w14:textId="77777777" w:rsidR="00710BCB" w:rsidRDefault="00710BCB" w:rsidP="00641659">
      <w:pPr>
        <w:rPr>
          <w:b/>
          <w:i/>
        </w:rPr>
      </w:pPr>
    </w:p>
    <w:p w14:paraId="047BF5FC" w14:textId="77777777" w:rsidR="00710BCB" w:rsidRDefault="00710BCB" w:rsidP="00641659">
      <w:pPr>
        <w:rPr>
          <w:b/>
          <w:i/>
        </w:rPr>
      </w:pPr>
    </w:p>
    <w:p w14:paraId="22986C7C" w14:textId="77777777" w:rsidR="00641659" w:rsidRPr="00380377" w:rsidRDefault="00641659" w:rsidP="00641659">
      <w:pPr>
        <w:rPr>
          <w:b/>
          <w:i/>
        </w:rPr>
      </w:pPr>
      <w:r w:rsidRPr="00380377">
        <w:rPr>
          <w:b/>
          <w:i/>
        </w:rPr>
        <w:t xml:space="preserve">Criteria (5) “The extent to which the agency or program has required the persons it regulates to report to it </w:t>
      </w:r>
      <w:r w:rsidRPr="00380377">
        <w:rPr>
          <w:b/>
          <w:i/>
        </w:rPr>
        <w:lastRenderedPageBreak/>
        <w:t>concerning the impact of rules and decisions of the agency or the impact of the program on the public regarding improved service, economy of service, and availability of service.”</w:t>
      </w:r>
    </w:p>
    <w:p w14:paraId="4C86A3C4" w14:textId="77777777" w:rsidR="00641659" w:rsidRPr="00F7075F" w:rsidRDefault="00641659" w:rsidP="00641659">
      <w:pPr>
        <w:rPr>
          <w:i/>
        </w:rPr>
      </w:pPr>
    </w:p>
    <w:p w14:paraId="6445846C" w14:textId="77777777" w:rsidR="00BF5371" w:rsidRDefault="00BF5371" w:rsidP="00641659"/>
    <w:p w14:paraId="59F6047D" w14:textId="77777777" w:rsidR="00BF5371" w:rsidRDefault="00BF5371" w:rsidP="00641659">
      <w:r>
        <w:t>The IOC</w:t>
      </w:r>
      <w:r w:rsidRPr="00BF5371">
        <w:t xml:space="preserve"> takes the feedback of the industry and consumers into consideratio</w:t>
      </w:r>
      <w:r w:rsidR="00806E4A">
        <w:t>n in every decision that is made</w:t>
      </w:r>
      <w:r w:rsidR="00710BCB">
        <w:t xml:space="preserve"> in relation to the administration of this act</w:t>
      </w:r>
      <w:r w:rsidR="005733F7">
        <w:t>, including public feedback during the JCAR rulemaking process.</w:t>
      </w:r>
    </w:p>
    <w:p w14:paraId="4E1726C5" w14:textId="77777777" w:rsidR="00641659" w:rsidRDefault="00641659" w:rsidP="00641659"/>
    <w:p w14:paraId="69373AF7" w14:textId="77777777" w:rsidR="00641659" w:rsidRDefault="00641659" w:rsidP="00641659"/>
    <w:p w14:paraId="06DE090D" w14:textId="77777777" w:rsidR="00641659" w:rsidRPr="00F7075F" w:rsidRDefault="00641659" w:rsidP="00641659">
      <w:pPr>
        <w:rPr>
          <w:i/>
        </w:rPr>
      </w:pPr>
      <w:r w:rsidRPr="00380377">
        <w:rPr>
          <w:b/>
          <w:i/>
        </w:rPr>
        <w:t>Criteria (6) “The extent to which persons regulated by the agency or under the program have been required to assess the problems in their industry that affect the public.”</w:t>
      </w:r>
    </w:p>
    <w:p w14:paraId="0F0DD9BE" w14:textId="77777777" w:rsidR="00641659" w:rsidRDefault="00641659" w:rsidP="00641659"/>
    <w:p w14:paraId="21671356" w14:textId="77777777" w:rsidR="00BF5371" w:rsidRPr="00BF5371" w:rsidRDefault="00806E4A" w:rsidP="00BF5371">
      <w:r>
        <w:t xml:space="preserve">The </w:t>
      </w:r>
      <w:r w:rsidR="005733F7">
        <w:t>IOC</w:t>
      </w:r>
      <w:r>
        <w:t xml:space="preserve"> </w:t>
      </w:r>
      <w:r w:rsidR="00BF5371" w:rsidRPr="00BF5371">
        <w:t>has held industry roundtable discussions and its employees attend</w:t>
      </w:r>
      <w:r>
        <w:t xml:space="preserve"> annual industry tradeshows and events</w:t>
      </w:r>
      <w:r w:rsidR="005733F7">
        <w:t xml:space="preserve"> to receive feedback on the state of the industry</w:t>
      </w:r>
      <w:r w:rsidR="00BF5371" w:rsidRPr="00BF5371">
        <w:t>.</w:t>
      </w:r>
    </w:p>
    <w:p w14:paraId="0A5D7E65" w14:textId="77777777" w:rsidR="00641659" w:rsidRDefault="00641659" w:rsidP="00641659"/>
    <w:p w14:paraId="3FC6AC5A" w14:textId="77777777" w:rsidR="00641659" w:rsidRPr="00380377" w:rsidRDefault="00641659" w:rsidP="00641659">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43CED35C" w14:textId="77777777" w:rsidR="00641659" w:rsidRPr="00F7075F" w:rsidRDefault="00641659" w:rsidP="00641659">
      <w:pPr>
        <w:rPr>
          <w:i/>
        </w:rPr>
      </w:pPr>
    </w:p>
    <w:p w14:paraId="708F4204" w14:textId="77777777" w:rsidR="00641659" w:rsidRPr="00BF5371" w:rsidRDefault="00BF5371" w:rsidP="00641659">
      <w:r w:rsidRPr="00BF5371">
        <w:t xml:space="preserve">The </w:t>
      </w:r>
      <w:r w:rsidR="005733F7">
        <w:t>IOC encourages public participation through maintenance of</w:t>
      </w:r>
      <w:r w:rsidRPr="00BF5371">
        <w:t xml:space="preserve"> a hotline for questions and concerns, and a webs</w:t>
      </w:r>
      <w:r>
        <w:t xml:space="preserve">ite with contact information. </w:t>
      </w:r>
    </w:p>
    <w:p w14:paraId="42E48C3D" w14:textId="77777777" w:rsidR="00641659" w:rsidRDefault="00641659" w:rsidP="00641659">
      <w:pPr>
        <w:rPr>
          <w:i/>
        </w:rPr>
      </w:pPr>
    </w:p>
    <w:p w14:paraId="54E4D281" w14:textId="77777777" w:rsidR="00641659" w:rsidRPr="00380377" w:rsidRDefault="00641659" w:rsidP="00641659">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696C909A" w14:textId="77777777" w:rsidR="00641659" w:rsidRPr="00BF5371" w:rsidRDefault="00641659" w:rsidP="00641659">
      <w:pPr>
        <w:rPr>
          <w:i/>
          <w:color w:val="FF0000"/>
        </w:rPr>
      </w:pPr>
    </w:p>
    <w:p w14:paraId="04F459D0" w14:textId="77777777" w:rsidR="00641659" w:rsidRPr="00BF5371" w:rsidRDefault="00BF5371" w:rsidP="00641659">
      <w:r w:rsidRPr="00BF5371">
        <w:t xml:space="preserve">Complaints are received on the </w:t>
      </w:r>
      <w:r w:rsidR="00AD15BC">
        <w:t xml:space="preserve">IOC hotline, by mail </w:t>
      </w:r>
      <w:r w:rsidRPr="00BF5371">
        <w:t>o</w:t>
      </w:r>
      <w:r w:rsidR="007B3238">
        <w:t xml:space="preserve">r by email. </w:t>
      </w:r>
      <w:r w:rsidRPr="00BF5371">
        <w:t xml:space="preserve">Once they are recorded or opened, they are routed to the Director or Deputy Director of the PLACE Department, and then disseminated to either legal counsel or the auditor in charge of the licensee. Each complaint is </w:t>
      </w:r>
      <w:r w:rsidR="005733F7">
        <w:t>addressed in a timely manner relative to the complaint</w:t>
      </w:r>
      <w:r w:rsidR="007B3238">
        <w:t xml:space="preserve">. </w:t>
      </w:r>
      <w:r w:rsidRPr="00BF5371">
        <w:t xml:space="preserve">There are no pending complaints and there is no backlog of complaints. </w:t>
      </w:r>
    </w:p>
    <w:p w14:paraId="2D262953" w14:textId="77777777" w:rsidR="00641659" w:rsidRDefault="00641659" w:rsidP="00641659">
      <w:pPr>
        <w:rPr>
          <w:b/>
          <w:i/>
        </w:rPr>
      </w:pPr>
    </w:p>
    <w:p w14:paraId="2C0C27CD" w14:textId="77777777" w:rsidR="00BF5371" w:rsidRDefault="00641659" w:rsidP="00BF5371">
      <w:pPr>
        <w:rPr>
          <w:b/>
          <w:i/>
        </w:rPr>
      </w:pPr>
      <w:r w:rsidRPr="00380377">
        <w:rPr>
          <w:b/>
          <w:i/>
        </w:rPr>
        <w:t>Criteria (9) “The extent to which changes are necessary in the enabling laws of the agency or program to adequately comply with the factors listed in this section.”</w:t>
      </w:r>
    </w:p>
    <w:p w14:paraId="695FA45C" w14:textId="77777777" w:rsidR="00BF5371" w:rsidRDefault="00BF5371" w:rsidP="00BF5371">
      <w:pPr>
        <w:rPr>
          <w:b/>
          <w:i/>
        </w:rPr>
      </w:pPr>
    </w:p>
    <w:p w14:paraId="153142CE" w14:textId="77777777" w:rsidR="00641659" w:rsidRPr="00BF5371" w:rsidRDefault="007B3238" w:rsidP="00BF5371">
      <w:r>
        <w:t>The IOC</w:t>
      </w:r>
      <w:r w:rsidR="00BF5371" w:rsidRPr="00BF5371">
        <w:t xml:space="preserve"> recommend</w:t>
      </w:r>
      <w:r>
        <w:t>s</w:t>
      </w:r>
      <w:r w:rsidR="00BF5371" w:rsidRPr="00BF5371">
        <w:t xml:space="preserve"> amending the statute to allow for a</w:t>
      </w:r>
      <w:r w:rsidR="00710BCB">
        <w:t>n</w:t>
      </w:r>
      <w:r w:rsidR="00BF5371" w:rsidRPr="00BF5371">
        <w:t xml:space="preserve"> </w:t>
      </w:r>
      <w:r w:rsidR="005733F7">
        <w:t>enhanced</w:t>
      </w:r>
      <w:r w:rsidR="00BF5371" w:rsidRPr="00BF5371">
        <w:t xml:space="preserve"> exchange of information from other state agencies</w:t>
      </w:r>
      <w:r w:rsidR="00976F27">
        <w:t xml:space="preserve"> (</w:t>
      </w:r>
      <w:r w:rsidR="00976F27" w:rsidRPr="00976F27">
        <w:t>E.g. Illinois Department of Revenue, the Illinois Office of the Secretary of State, Illinois Department of Financial and Professional Regulation and Illinois Environmental Protection Agency</w:t>
      </w:r>
      <w:r w:rsidR="00976F27">
        <w:t>)</w:t>
      </w:r>
      <w:r w:rsidR="00BF5371" w:rsidRPr="00BF5371">
        <w:t xml:space="preserve"> for noncompliance and financial, regulatory, environmental or con</w:t>
      </w:r>
      <w:r w:rsidR="00BE7181">
        <w:t xml:space="preserve">sumer issues.  </w:t>
      </w:r>
    </w:p>
    <w:p w14:paraId="1DDC8319" w14:textId="77777777" w:rsidR="00641659" w:rsidRDefault="00641659" w:rsidP="00641659"/>
    <w:p w14:paraId="2F9E1AA5" w14:textId="77777777" w:rsidR="00641659" w:rsidRDefault="00641659" w:rsidP="00641659"/>
    <w:p w14:paraId="5F70E722" w14:textId="77777777" w:rsidR="00641659" w:rsidRDefault="00641659" w:rsidP="00641659">
      <w:pPr>
        <w:rPr>
          <w:b/>
        </w:rPr>
      </w:pPr>
      <w:r w:rsidRPr="00380377">
        <w:rPr>
          <w:b/>
        </w:rPr>
        <w:t>Conclusion:</w:t>
      </w:r>
    </w:p>
    <w:p w14:paraId="095FF03A" w14:textId="77777777" w:rsidR="00641659" w:rsidRDefault="00641659" w:rsidP="00641659">
      <w:pPr>
        <w:rPr>
          <w:b/>
        </w:rPr>
      </w:pPr>
    </w:p>
    <w:p w14:paraId="408F91A0" w14:textId="77777777" w:rsidR="00BF0A4D" w:rsidRDefault="00BF0A4D" w:rsidP="00BF0A4D">
      <w:r>
        <w:t xml:space="preserve">According to the Cremation Association of North America (CANA), “In 1999, there were 1,468 crematories and 595,617 cremations, </w:t>
      </w:r>
      <w:r w:rsidR="004D5D23">
        <w:t xml:space="preserve">which accounts for </w:t>
      </w:r>
      <w:r>
        <w:t>25.39</w:t>
      </w:r>
      <w:r w:rsidR="004D5D23">
        <w:t>% of the final disposition of remains for</w:t>
      </w:r>
      <w:r>
        <w:t xml:space="preserve"> all deaths in the United States. By 2009, there were over 2,100 crematories and over 900,000 cremations...and 36.84% of deaths in the United States </w:t>
      </w:r>
      <w:r w:rsidR="004D5D23">
        <w:t>resulted in</w:t>
      </w:r>
      <w:r>
        <w:t xml:space="preserve"> cremation, a percentage that is expected to grow to over half of deaths by 2018.” </w:t>
      </w:r>
      <w:r w:rsidR="00DC06E0" w:rsidRPr="00DC06E0">
        <w:t>The cremation rate for 2018</w:t>
      </w:r>
      <w:r w:rsidR="002C2BEE">
        <w:t xml:space="preserve"> of </w:t>
      </w:r>
      <w:r w:rsidR="002C2BEE" w:rsidRPr="00DC06E0">
        <w:t>53.1%</w:t>
      </w:r>
      <w:r w:rsidR="00DC06E0" w:rsidRPr="00DC06E0">
        <w:t xml:space="preserve"> was</w:t>
      </w:r>
      <w:r w:rsidR="002C2BEE">
        <w:t xml:space="preserve"> released in May of 2019.</w:t>
      </w:r>
    </w:p>
    <w:p w14:paraId="5ED27593" w14:textId="77777777" w:rsidR="00BF0A4D" w:rsidRDefault="00BF0A4D" w:rsidP="00BF0A4D">
      <w:r>
        <w:t xml:space="preserve"> </w:t>
      </w:r>
    </w:p>
    <w:p w14:paraId="4AF5690F" w14:textId="77777777" w:rsidR="00BF0A4D" w:rsidRDefault="00BF0A4D" w:rsidP="00BF0A4D">
      <w:r>
        <w:t xml:space="preserve">In an article published in 2018 by the National Funeral Directors Association (NFDA), “Over the next 18 years, the </w:t>
      </w:r>
      <w:r>
        <w:lastRenderedPageBreak/>
        <w:t>rate of cremation in the United States is projected to increase by nearly 30 percent according to the 20</w:t>
      </w:r>
      <w:r w:rsidR="004D5D23">
        <w:t xml:space="preserve">18 Cremation and Burial Report. </w:t>
      </w:r>
      <w:r>
        <w:t xml:space="preserve">Already having outpaced the rate of burial for three consecutive years, the national cremation rate will reach nearly 80 percent (or 2.80 million cremations per year) by 2035, based on a variety of factors including changing consumer preference, weakening religious prohibitions and environmental concerns.” </w:t>
      </w:r>
      <w:r w:rsidRPr="00BF5371">
        <w:t xml:space="preserve">In the future, it is possible that cremation and crematories may replace traditional funeral homes and cemeteries, altogether. </w:t>
      </w:r>
      <w:r>
        <w:t xml:space="preserve">It is important that regulation of cremation and crematories keeps up with this growing trend and evolves to protect public health, safety, and welfare. </w:t>
      </w:r>
    </w:p>
    <w:p w14:paraId="43CC4A6D" w14:textId="77777777" w:rsidR="00BF0A4D" w:rsidRDefault="00BF0A4D" w:rsidP="00BF0A4D"/>
    <w:p w14:paraId="0F50199B" w14:textId="4F4A6779" w:rsidR="002C016E" w:rsidRDefault="00926C04" w:rsidP="00BF0A4D">
      <w:r>
        <w:t>The IOC</w:t>
      </w:r>
      <w:r w:rsidR="00E75CAE">
        <w:t xml:space="preserve"> believes the</w:t>
      </w:r>
      <w:r>
        <w:t xml:space="preserve"> a</w:t>
      </w:r>
      <w:r w:rsidR="002C016E">
        <w:t>bsence of regulation of crematories would significantly harm or endanger public health, safety, and welfare.</w:t>
      </w:r>
      <w:r w:rsidR="007B3238">
        <w:t xml:space="preserve"> </w:t>
      </w:r>
      <w:r w:rsidR="002C016E">
        <w:t>As cremation is growing in popularity as a disposition choice, it is imperative that there are licensing and operational requirements for crematories, and state laws governing who can authorize a cremation and how long after a death a cremation can b</w:t>
      </w:r>
      <w:r w:rsidR="00D518F6">
        <w:t>e performed. W</w:t>
      </w:r>
      <w:r w:rsidR="002C016E">
        <w:t xml:space="preserve">ithout regulation crematories would have no standards to follow and the public </w:t>
      </w:r>
      <w:r w:rsidR="0068680D">
        <w:t>c</w:t>
      </w:r>
      <w:r w:rsidR="002C016E">
        <w:t xml:space="preserve">ould be harmed in countless ways. </w:t>
      </w:r>
    </w:p>
    <w:p w14:paraId="0EF31944" w14:textId="77777777" w:rsidR="005733F7" w:rsidRDefault="005733F7" w:rsidP="00BF0A4D"/>
    <w:p w14:paraId="1F1D03E5" w14:textId="77777777" w:rsidR="005733F7" w:rsidRDefault="004D5D23" w:rsidP="00BF0A4D">
      <w:r>
        <w:t>Consequently</w:t>
      </w:r>
      <w:r w:rsidR="005733F7">
        <w:t>, GOMB recommends the continuation of the Crematory Regulation Act.</w:t>
      </w:r>
    </w:p>
    <w:p w14:paraId="372B38E4" w14:textId="77777777" w:rsidR="005733F7" w:rsidRDefault="005733F7" w:rsidP="00BF0A4D"/>
    <w:p w14:paraId="10324E5C" w14:textId="77777777" w:rsidR="00641659" w:rsidRDefault="00641659" w:rsidP="002C016E"/>
    <w:p w14:paraId="74F4D67E" w14:textId="77777777" w:rsidR="00A65743" w:rsidRDefault="0006534A"/>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A1C16" w14:textId="77777777" w:rsidR="0006534A" w:rsidRDefault="0006534A">
      <w:r>
        <w:separator/>
      </w:r>
    </w:p>
  </w:endnote>
  <w:endnote w:type="continuationSeparator" w:id="0">
    <w:p w14:paraId="404F94BB" w14:textId="77777777" w:rsidR="0006534A" w:rsidRDefault="0006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7D563" w14:textId="77777777" w:rsidR="00F57559" w:rsidRDefault="0006534A">
    <w:pPr>
      <w:pStyle w:val="Footer"/>
      <w:jc w:val="right"/>
    </w:pPr>
  </w:p>
  <w:p w14:paraId="4901F7B4" w14:textId="77777777" w:rsidR="00F57559" w:rsidRDefault="00065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7069433E" w14:textId="77777777" w:rsidR="00191420" w:rsidRDefault="00871D95">
        <w:pPr>
          <w:pStyle w:val="Footer"/>
          <w:jc w:val="right"/>
        </w:pPr>
        <w:r>
          <w:fldChar w:fldCharType="begin"/>
        </w:r>
        <w:r>
          <w:instrText xml:space="preserve"> PAGE   \* MERGEFORMAT </w:instrText>
        </w:r>
        <w:r>
          <w:fldChar w:fldCharType="separate"/>
        </w:r>
        <w:r w:rsidR="003A6EB0">
          <w:rPr>
            <w:noProof/>
          </w:rPr>
          <w:t>5</w:t>
        </w:r>
        <w:r>
          <w:rPr>
            <w:noProof/>
          </w:rPr>
          <w:fldChar w:fldCharType="end"/>
        </w:r>
      </w:p>
    </w:sdtContent>
  </w:sdt>
  <w:p w14:paraId="11458BDA" w14:textId="77777777" w:rsidR="00191420" w:rsidRDefault="00065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83275" w14:textId="77777777" w:rsidR="0006534A" w:rsidRDefault="0006534A">
      <w:r>
        <w:separator/>
      </w:r>
    </w:p>
  </w:footnote>
  <w:footnote w:type="continuationSeparator" w:id="0">
    <w:p w14:paraId="52A4C4B2" w14:textId="77777777" w:rsidR="0006534A" w:rsidRDefault="00065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659"/>
    <w:rsid w:val="0006534A"/>
    <w:rsid w:val="00205AEE"/>
    <w:rsid w:val="002C016E"/>
    <w:rsid w:val="002C2BEE"/>
    <w:rsid w:val="002F1301"/>
    <w:rsid w:val="003A6EB0"/>
    <w:rsid w:val="00497A93"/>
    <w:rsid w:val="004D5D23"/>
    <w:rsid w:val="005733F7"/>
    <w:rsid w:val="00584EC8"/>
    <w:rsid w:val="005B728F"/>
    <w:rsid w:val="005F4810"/>
    <w:rsid w:val="00617E05"/>
    <w:rsid w:val="00641659"/>
    <w:rsid w:val="00642968"/>
    <w:rsid w:val="0066089E"/>
    <w:rsid w:val="0068680D"/>
    <w:rsid w:val="00692250"/>
    <w:rsid w:val="00710BCB"/>
    <w:rsid w:val="007B3238"/>
    <w:rsid w:val="00806E4A"/>
    <w:rsid w:val="00871D95"/>
    <w:rsid w:val="008E6BB5"/>
    <w:rsid w:val="00926C04"/>
    <w:rsid w:val="009741EF"/>
    <w:rsid w:val="00976F27"/>
    <w:rsid w:val="00AD15BC"/>
    <w:rsid w:val="00B723D3"/>
    <w:rsid w:val="00BE16E4"/>
    <w:rsid w:val="00BE7181"/>
    <w:rsid w:val="00BF0A4D"/>
    <w:rsid w:val="00BF5371"/>
    <w:rsid w:val="00C54832"/>
    <w:rsid w:val="00D34872"/>
    <w:rsid w:val="00D4151A"/>
    <w:rsid w:val="00D518F6"/>
    <w:rsid w:val="00D66685"/>
    <w:rsid w:val="00D72CD6"/>
    <w:rsid w:val="00D82B79"/>
    <w:rsid w:val="00DC06E0"/>
    <w:rsid w:val="00E14540"/>
    <w:rsid w:val="00E75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5D602"/>
  <w15:chartTrackingRefBased/>
  <w15:docId w15:val="{DB8C41D8-E149-40E0-A166-2142D4222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41659"/>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1659"/>
  </w:style>
  <w:style w:type="table" w:styleId="TableGrid">
    <w:name w:val="Table Grid"/>
    <w:basedOn w:val="TableNormal"/>
    <w:uiPriority w:val="59"/>
    <w:rsid w:val="00641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41659"/>
    <w:pPr>
      <w:tabs>
        <w:tab w:val="center" w:pos="4680"/>
        <w:tab w:val="right" w:pos="9360"/>
      </w:tabs>
    </w:pPr>
  </w:style>
  <w:style w:type="character" w:customStyle="1" w:styleId="FooterChar">
    <w:name w:val="Footer Char"/>
    <w:basedOn w:val="DefaultParagraphFont"/>
    <w:link w:val="Footer"/>
    <w:uiPriority w:val="99"/>
    <w:rsid w:val="00641659"/>
  </w:style>
  <w:style w:type="paragraph" w:styleId="BalloonText">
    <w:name w:val="Balloon Text"/>
    <w:basedOn w:val="Normal"/>
    <w:link w:val="BalloonTextChar"/>
    <w:uiPriority w:val="99"/>
    <w:semiHidden/>
    <w:unhideWhenUsed/>
    <w:rsid w:val="006429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968"/>
    <w:rPr>
      <w:rFonts w:ascii="Segoe UI" w:hAnsi="Segoe UI" w:cs="Segoe UI"/>
      <w:sz w:val="18"/>
      <w:szCs w:val="18"/>
    </w:rPr>
  </w:style>
  <w:style w:type="character" w:styleId="CommentReference">
    <w:name w:val="annotation reference"/>
    <w:basedOn w:val="DefaultParagraphFont"/>
    <w:uiPriority w:val="99"/>
    <w:semiHidden/>
    <w:unhideWhenUsed/>
    <w:rsid w:val="005B728F"/>
    <w:rPr>
      <w:sz w:val="16"/>
      <w:szCs w:val="16"/>
    </w:rPr>
  </w:style>
  <w:style w:type="paragraph" w:styleId="CommentText">
    <w:name w:val="annotation text"/>
    <w:basedOn w:val="Normal"/>
    <w:link w:val="CommentTextChar"/>
    <w:uiPriority w:val="99"/>
    <w:semiHidden/>
    <w:unhideWhenUsed/>
    <w:rsid w:val="005B728F"/>
    <w:rPr>
      <w:sz w:val="20"/>
      <w:szCs w:val="20"/>
    </w:rPr>
  </w:style>
  <w:style w:type="character" w:customStyle="1" w:styleId="CommentTextChar">
    <w:name w:val="Comment Text Char"/>
    <w:basedOn w:val="DefaultParagraphFont"/>
    <w:link w:val="CommentText"/>
    <w:uiPriority w:val="99"/>
    <w:semiHidden/>
    <w:rsid w:val="005B728F"/>
    <w:rPr>
      <w:sz w:val="20"/>
      <w:szCs w:val="20"/>
    </w:rPr>
  </w:style>
  <w:style w:type="paragraph" w:styleId="CommentSubject">
    <w:name w:val="annotation subject"/>
    <w:basedOn w:val="CommentText"/>
    <w:next w:val="CommentText"/>
    <w:link w:val="CommentSubjectChar"/>
    <w:uiPriority w:val="99"/>
    <w:semiHidden/>
    <w:unhideWhenUsed/>
    <w:rsid w:val="005B728F"/>
    <w:rPr>
      <w:b/>
      <w:bCs/>
    </w:rPr>
  </w:style>
  <w:style w:type="character" w:customStyle="1" w:styleId="CommentSubjectChar">
    <w:name w:val="Comment Subject Char"/>
    <w:basedOn w:val="CommentTextChar"/>
    <w:link w:val="CommentSubject"/>
    <w:uiPriority w:val="99"/>
    <w:semiHidden/>
    <w:rsid w:val="005B72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2020-12-10T20:48:00Z</dcterms:created>
  <dcterms:modified xsi:type="dcterms:W3CDTF">2020-12-10T20:48:00Z</dcterms:modified>
</cp:coreProperties>
</file>